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Corbel" w:cs="Corbel" w:eastAsia="Corbel" w:hAnsi="Corbel"/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Corbel" w:cs="Corbel" w:eastAsia="Corbel" w:hAnsi="Corbe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Corbel" w:cs="Corbel" w:eastAsia="Corbel" w:hAnsi="Corbe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orbel" w:cs="Corbel" w:eastAsia="Corbel" w:hAnsi="Corbe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Corbel" w:cs="Corbel" w:eastAsia="Corbel" w:hAnsi="Corbe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orbel" w:cs="Corbel" w:eastAsia="Corbel" w:hAnsi="Corbe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Corbel" w:cs="Corbel" w:eastAsia="Corbel" w:hAnsi="Corbe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Corbel" w:cs="Corbel" w:eastAsia="Corbel" w:hAnsi="Corbel"/>
          <w:b w:val="1"/>
          <w:sz w:val="16"/>
          <w:szCs w:val="16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color w:val="002060"/>
          <w:sz w:val="40"/>
          <w:szCs w:val="40"/>
          <w:rtl w:val="0"/>
        </w:rPr>
        <w:t xml:space="preserve">CIERRE DEL PERÍODO ANIMACIÓN DISTRITAL 2019-2021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564.401146131804" w:type="dxa"/>
        <w:jc w:val="center"/>
        <w:tblBorders>
          <w:top w:color="ffc000" w:space="0" w:sz="8" w:val="single"/>
          <w:left w:color="ffc000" w:space="0" w:sz="8" w:val="single"/>
          <w:bottom w:color="ffc000" w:space="0" w:sz="8" w:val="single"/>
          <w:right w:color="ffc000" w:space="0" w:sz="8" w:val="single"/>
          <w:insideH w:color="ffc000" w:space="0" w:sz="8" w:val="single"/>
          <w:insideV w:color="ffc000" w:space="0" w:sz="8" w:val="single"/>
        </w:tblBorders>
        <w:tblLayout w:type="fixed"/>
        <w:tblLook w:val="04A0"/>
      </w:tblPr>
      <w:tblGrid>
        <w:gridCol w:w="2700"/>
        <w:gridCol w:w="3375"/>
        <w:gridCol w:w="1560"/>
        <w:gridCol w:w="2145"/>
        <w:gridCol w:w="1140"/>
        <w:gridCol w:w="2644.4011461318046"/>
        <w:tblGridChange w:id="0">
          <w:tblGrid>
            <w:gridCol w:w="2700"/>
            <w:gridCol w:w="3375"/>
            <w:gridCol w:w="1560"/>
            <w:gridCol w:w="2145"/>
            <w:gridCol w:w="1140"/>
            <w:gridCol w:w="2644.4011461318046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ffc000" w:space="0" w:sz="8" w:val="single"/>
              <w:bottom w:color="ffc000" w:space="0" w:sz="8" w:val="single"/>
              <w:right w:color="ffc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20"/>
                <w:szCs w:val="20"/>
                <w:rtl w:val="0"/>
              </w:rPr>
              <w:t xml:space="preserve">PAÍS: </w:t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20"/>
                <w:szCs w:val="20"/>
                <w:rtl w:val="0"/>
              </w:rPr>
              <w:t xml:space="preserve">NOMBRE OBRA EDUCATIVA: 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shd w:fill="f2f2f2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20"/>
                <w:szCs w:val="20"/>
                <w:rtl w:val="0"/>
              </w:rPr>
              <w:t xml:space="preserve">REDACTADO POR: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20"/>
                <w:szCs w:val="20"/>
                <w:rtl w:val="0"/>
              </w:rPr>
              <w:t xml:space="preserve"># EDUCADORES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20"/>
                <w:szCs w:val="20"/>
                <w:rtl w:val="0"/>
              </w:rPr>
              <w:t xml:space="preserve"># ADMINISTRATIVOS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20"/>
                <w:szCs w:val="20"/>
                <w:rtl w:val="0"/>
              </w:rPr>
              <w:t xml:space="preserve"># ALUMNOS</w:t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20"/>
                <w:szCs w:val="20"/>
                <w:rtl w:val="0"/>
              </w:rPr>
              <w:t xml:space="preserve"># SERVICIOS GENERALES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20"/>
                <w:szCs w:val="20"/>
                <w:rtl w:val="0"/>
              </w:rPr>
              <w:t xml:space="preserve">¿Qué personas intervinieron en la elaboración de este informe? 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20"/>
                <w:szCs w:val="20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20"/>
                <w:szCs w:val="20"/>
                <w:rtl w:val="0"/>
              </w:rPr>
              <w:t xml:space="preserve">2.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2060"/>
                <w:sz w:val="20"/>
                <w:szCs w:val="20"/>
                <w:rtl w:val="0"/>
              </w:rPr>
              <w:t xml:space="preserve">3.</w:t>
            </w:r>
          </w:p>
        </w:tc>
      </w:tr>
      <w:tr>
        <w:trPr>
          <w:cantSplit w:val="0"/>
          <w:trHeight w:val="268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20"/>
                <w:szCs w:val="20"/>
                <w:rtl w:val="0"/>
              </w:rPr>
              <w:t xml:space="preserve">NIVELES EDUCATIVOS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59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5190"/>
              <w:gridCol w:w="5400"/>
              <w:tblGridChange w:id="0">
                <w:tblGrid>
                  <w:gridCol w:w="5190"/>
                  <w:gridCol w:w="54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  <w:rtl w:val="0"/>
                    </w:rPr>
                    <w:t xml:space="preserve">CARRERA/Diversificado/Técnico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  <w:rtl w:val="0"/>
                    </w:rPr>
                    <w:t xml:space="preserve"># Resolución/Resuelto (Ministerio de Educación)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Arial" w:cs="Arial" w:eastAsia="Arial" w:hAnsi="Arial"/>
                      <w:b w:val="1"/>
                      <w:color w:val="00206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Arial" w:cs="Arial" w:eastAsia="Arial" w:hAnsi="Arial"/>
          <w:b w:val="1"/>
          <w:color w:val="ff9900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color w:val="ff9900"/>
          <w:sz w:val="44"/>
          <w:szCs w:val="44"/>
          <w:rtl w:val="0"/>
        </w:rPr>
        <w:t xml:space="preserve">INSTRUCCIONES PARA COMPLETAR LA INFORMACIÓN 2021</w:t>
      </w:r>
    </w:p>
    <w:p w:rsidR="00000000" w:rsidDel="00000000" w:rsidP="00000000" w:rsidRDefault="00000000" w:rsidRPr="00000000" w14:paraId="00000046">
      <w:pPr>
        <w:spacing w:line="240" w:lineRule="auto"/>
        <w:jc w:val="both"/>
        <w:rPr>
          <w:rFonts w:ascii="Arial" w:cs="Arial" w:eastAsia="Arial" w:hAnsi="Arial"/>
          <w:b w:val="1"/>
          <w:color w:val="073763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rtl w:val="0"/>
        </w:rPr>
        <w:t xml:space="preserve">Saludos fraternos desde la Gestión MEL distrital a los miembros del Consejo de Dirección, responsables de la elaboración de este Protocolo importante a realizar al final del período 2019 - 2021.</w:t>
      </w:r>
    </w:p>
    <w:p w:rsidR="00000000" w:rsidDel="00000000" w:rsidP="00000000" w:rsidRDefault="00000000" w:rsidRPr="00000000" w14:paraId="00000047">
      <w:pPr>
        <w:spacing w:line="240" w:lineRule="auto"/>
        <w:jc w:val="both"/>
        <w:rPr>
          <w:rFonts w:ascii="Arial" w:cs="Arial" w:eastAsia="Arial" w:hAnsi="Arial"/>
          <w:b w:val="1"/>
          <w:color w:val="073763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rtl w:val="0"/>
        </w:rPr>
        <w:t xml:space="preserve">Este documento: PROTOCOLO DE EVALUACIÓN Y SUCESIÓN es un instrumento DISTRITAL para las obras educativas.  Como tal, debe ser llenado en cada una como memoria y referencia de la situación de la obra educativa.  Debe ser redactado en síntesis de los aspectos señalados y con los elementos relevantes de la gestión actual, los aspectos pendientes para dar seguimiento y los desafíos y retos hacia el futuro.   </w:t>
      </w:r>
    </w:p>
    <w:p w:rsidR="00000000" w:rsidDel="00000000" w:rsidP="00000000" w:rsidRDefault="00000000" w:rsidRPr="00000000" w14:paraId="00000048">
      <w:pPr>
        <w:spacing w:line="240" w:lineRule="auto"/>
        <w:jc w:val="both"/>
        <w:rPr>
          <w:rFonts w:ascii="Arial" w:cs="Arial" w:eastAsia="Arial" w:hAnsi="Arial"/>
          <w:b w:val="1"/>
          <w:color w:val="073763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rtl w:val="0"/>
        </w:rPr>
        <w:t xml:space="preserve">Al cierre de este período de animación, los Equipos Directivos están llamados a realizar este proceso de reflexión y proyección que recoja las mejores lecciones que colaboren al futuro institucional.   Es sumamente importante que esta información sea enviada a la OFICINA DE LA MISIÓN EDUCATIVA LASALLISTA en la fecha señalada, </w:t>
      </w:r>
      <w:r w:rsidDel="00000000" w:rsidR="00000000" w:rsidRPr="00000000">
        <w:rPr>
          <w:rFonts w:ascii="Arial" w:cs="Arial" w:eastAsia="Arial" w:hAnsi="Arial"/>
          <w:b w:val="1"/>
          <w:color w:val="980000"/>
          <w:rtl w:val="0"/>
        </w:rPr>
        <w:t xml:space="preserve">forma parte de las obligaciones y responsabilidades del Director al concluir el año escolar el 2021</w:t>
      </w:r>
      <w:r w:rsidDel="00000000" w:rsidR="00000000" w:rsidRPr="00000000">
        <w:rPr>
          <w:rFonts w:ascii="Arial" w:cs="Arial" w:eastAsia="Arial" w:hAnsi="Arial"/>
          <w:b w:val="1"/>
          <w:color w:val="073763"/>
          <w:rtl w:val="0"/>
        </w:rPr>
        <w:t xml:space="preserve">.    </w:t>
      </w:r>
    </w:p>
    <w:p w:rsidR="00000000" w:rsidDel="00000000" w:rsidP="00000000" w:rsidRDefault="00000000" w:rsidRPr="00000000" w14:paraId="00000049">
      <w:pPr>
        <w:spacing w:line="240" w:lineRule="auto"/>
        <w:jc w:val="both"/>
        <w:rPr>
          <w:rFonts w:ascii="Arial" w:cs="Arial" w:eastAsia="Arial" w:hAnsi="Arial"/>
          <w:b w:val="1"/>
          <w:color w:val="073763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rtl w:val="0"/>
        </w:rPr>
        <w:t xml:space="preserve">Este instrumento servirá como fuente importante para futuros procesos en el Distrito, en este caso el PEL 2022-2025.  Además, se relaciona y complementa con el Documento Orientador del Modelo Bimodal (elaborado en octubre de 2020 por los Directores).   </w:t>
      </w:r>
    </w:p>
    <w:p w:rsidR="00000000" w:rsidDel="00000000" w:rsidP="00000000" w:rsidRDefault="00000000" w:rsidRPr="00000000" w14:paraId="0000004A">
      <w:pPr>
        <w:spacing w:line="24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rtl w:val="0"/>
        </w:rPr>
        <w:t xml:space="preserve">Debe ser enviado a la Oficina MEL a través del correo electrónico</w:t>
      </w:r>
      <w:r w:rsidDel="00000000" w:rsidR="00000000" w:rsidRPr="00000000">
        <w:rPr>
          <w:rFonts w:ascii="Arial" w:cs="Arial" w:eastAsia="Arial" w:hAnsi="Arial"/>
          <w:b w:val="1"/>
          <w:i w:val="1"/>
          <w:color w:val="073763"/>
          <w:u w:val="single"/>
          <w:rtl w:val="0"/>
        </w:rPr>
        <w:t xml:space="preserve"> </w:t>
      </w:r>
      <w:hyperlink r:id="rId6">
        <w:r w:rsidDel="00000000" w:rsidR="00000000" w:rsidRPr="00000000">
          <w:rPr>
            <w:rFonts w:ascii="Arial" w:cs="Arial" w:eastAsia="Arial" w:hAnsi="Arial"/>
            <w:b w:val="1"/>
            <w:i w:val="1"/>
            <w:color w:val="1155cc"/>
            <w:u w:val="single"/>
            <w:rtl w:val="0"/>
          </w:rPr>
          <w:t xml:space="preserve">mcifuentes@lasalleca.net</w:t>
        </w:r>
      </w:hyperlink>
      <w:r w:rsidDel="00000000" w:rsidR="00000000" w:rsidRPr="00000000">
        <w:rPr>
          <w:rFonts w:ascii="Arial" w:cs="Arial" w:eastAsia="Arial" w:hAnsi="Arial"/>
          <w:b w:val="1"/>
          <w:color w:val="073763"/>
          <w:rtl w:val="0"/>
        </w:rPr>
        <w:t xml:space="preserve"> en la fecha asignada según el país.</w:t>
      </w:r>
      <w:r w:rsidDel="00000000" w:rsidR="00000000" w:rsidRPr="00000000">
        <w:rPr>
          <w:rtl w:val="0"/>
        </w:rPr>
      </w:r>
    </w:p>
    <w:tbl>
      <w:tblPr>
        <w:tblStyle w:val="Table3"/>
        <w:tblW w:w="6330.0" w:type="dxa"/>
        <w:jc w:val="left"/>
        <w:tblInd w:w="2549.999999999999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70"/>
        <w:gridCol w:w="3360"/>
        <w:tblGridChange w:id="0">
          <w:tblGrid>
            <w:gridCol w:w="2970"/>
            <w:gridCol w:w="336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País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Fecha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Guatemala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30 noviembre 2021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Honduras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30 noviembre 2021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Nicaragua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3 diciembre 2021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Costa Rica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30 noviembre 2021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Panamá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73763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73763"/>
                <w:rtl w:val="0"/>
              </w:rPr>
              <w:t xml:space="preserve"> diciembre 2021</w:t>
            </w:r>
          </w:p>
        </w:tc>
      </w:tr>
    </w:tbl>
    <w:p w:rsidR="00000000" w:rsidDel="00000000" w:rsidP="00000000" w:rsidRDefault="00000000" w:rsidRPr="00000000" w14:paraId="00000057">
      <w:pPr>
        <w:spacing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40" w:lineRule="auto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3710.0" w:type="dxa"/>
        <w:jc w:val="left"/>
        <w:tblInd w:w="0.0" w:type="dxa"/>
        <w:tblBorders>
          <w:top w:color="ffc000" w:space="0" w:sz="4" w:val="single"/>
          <w:left w:color="ffc000" w:space="0" w:sz="4" w:val="single"/>
          <w:bottom w:color="ffc000" w:space="0" w:sz="4" w:val="single"/>
          <w:right w:color="ffc000" w:space="0" w:sz="4" w:val="single"/>
          <w:insideH w:color="ffc000" w:space="0" w:sz="4" w:val="single"/>
          <w:insideV w:color="ffc000" w:space="0" w:sz="4" w:val="single"/>
        </w:tblBorders>
        <w:tblLayout w:type="fixed"/>
        <w:tblLook w:val="04A0"/>
      </w:tblPr>
      <w:tblGrid>
        <w:gridCol w:w="3780"/>
        <w:gridCol w:w="3810"/>
        <w:gridCol w:w="2835"/>
        <w:gridCol w:w="3285"/>
        <w:tblGridChange w:id="0">
          <w:tblGrid>
            <w:gridCol w:w="3780"/>
            <w:gridCol w:w="3810"/>
            <w:gridCol w:w="2835"/>
            <w:gridCol w:w="3285"/>
          </w:tblGrid>
        </w:tblGridChange>
      </w:tblGrid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Aspectos relevantes de la gestión actual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Aspectos pendientes  para seguimiento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02060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Arial" w:cs="Arial" w:eastAsia="Arial" w:hAnsi="Arial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Desafíos o retos al futuro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7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Arial" w:cs="Arial" w:eastAsia="Arial" w:hAnsi="Arial"/>
                <w:color w:val="0b5394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36"/>
                <w:szCs w:val="36"/>
                <w:rtl w:val="0"/>
              </w:rPr>
              <w:t xml:space="preserve">PARTE I- Dimensión Pedagógica en la obra educativa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3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EL PROYECTO EDUCATIVO (PEL)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Experiencia en su construcción, logros y desaciertos; su evaluación.  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6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CURRÍCULO Y MODALIDAD.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 Adaptaciones y ajustes curriculares en cuanto a contenido, asignaturas, competencias según la modalidad (a raíz de la pandemia Covid19)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2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MODALIDAD.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Experiencia en la implementación de modalidades de estudio: presencial, virtual, bimodal; logros y desaciertos.  Aplicación del documento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002060"/>
                <w:rtl w:val="0"/>
              </w:rPr>
              <w:t xml:space="preserve">MODELO BIMODAL.  (Reunión de directores 2020)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ORGANIZACIÓN ESCOLAR SEGÚN LA MODALIDAD.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Dinámica empleada,   cambios en horarios u otros.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EL ENTORNO VIRTUAL.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Proceso didáctico propiciado.  Sistemas, plataformas (LMS y Apps) utilizadas; logros y desaciertos.  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Integración de la didáctica de las asignaturas a lo virtual. 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LA CONVIVENCIA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Manual de convivencia, su aplicación, necesidades detectadas.  Convivencia estudiantil.  Convivencia entre miembros del personal.  Logros y desaciertos.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EVALUACIÓN DEL APRENDIZAJE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.  Dinámica propiciada, cambios.  Logros y desaciertos.  Cambios en el sistema empleado.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PROGRAMAS EDUCATIVOS ESPECÍFICOS Y DE INNOVACIÓN. 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Robótica, Idiomas, Estimulación, Ciudadanía digital, entre otros.  Dinámica, cambios.  Logros y desaciertos.   Otros programas.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PROGRAMA DE LECTURA.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Situación actual. Herramientas digitales. Dinámica de seguimiento.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EDUCANDOS.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Ambiente general, casos especiales, situaciones particulares.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EDUCADORES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.  Ambiente general, casos especiales, situaciones particulares.  Modalidad de trabajo.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PROYECTOS EN LA OBRA.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 Impacto contextual de los proyectos, implementación de la investigación teórica y de campo para su implementación.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3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rial" w:cs="Arial" w:eastAsia="Arial" w:hAnsi="Arial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36"/>
                <w:szCs w:val="36"/>
                <w:rtl w:val="0"/>
              </w:rPr>
              <w:t xml:space="preserve">PARTE II-  La formación del personal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mallCaps w:val="0"/>
                <w:strike w:val="0"/>
                <w:color w:val="00206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FORMACIÓN LASALLISTA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Dinámica empleada e impacto tenido en la obra.  Logros y aspectos de mejora.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mallCaps w:val="0"/>
                <w:strike w:val="0"/>
                <w:color w:val="00206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FORMACIÓN ACADÉMICA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Situación de las habilidades didácticas y pedagógicas del profesorado. Dinámica empleada.  Personal en formación académica.  Procesos pendientes.  Logros y desaciertos.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mallCaps w:val="0"/>
                <w:strike w:val="0"/>
                <w:color w:val="00206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FORMACIÓN TECNOLÓGICA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Dinámica empleada e impacto.  Temáticas tomadas en cuenta.  Temáticas futuras.  Cómo y quién proporciona la formación.   Situación de las habilidades digitales en el profesorado y su proceso de desarrollo.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smallCaps w:val="0"/>
                <w:strike w:val="0"/>
                <w:color w:val="002060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CAPACITACIONES U OTRAS EXPERIENCIAS FORMATIVAS.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Posibles áreas de incidencia futura.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7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Arial" w:cs="Arial" w:eastAsia="Arial" w:hAnsi="Arial"/>
                <w:i w:val="1"/>
                <w:color w:val="00206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36"/>
                <w:szCs w:val="36"/>
                <w:rtl w:val="0"/>
              </w:rPr>
              <w:t xml:space="preserve">Parte III-  Grupos y Equipos de trabajo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DIRECCIÓN Y EQUIPO DIRECTIVO: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la dinámica en la toma de decisiones institucionales, de gestión.  Áreas de participación y decisión principales del Equipo Directivo.  La dinámica de gestión del Director(es).  Sus fortalezas, mejores prácticas y aspectos a fortalecer.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TRABAJO EN EQUIPO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Proyectos estratégicos institucionales, nuevos, en desarrollo, cancelados.   Prácticas en cuanto al proceso de estudio de la iniciativas, planificación, presupuesto, valor pedagógico.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CONSEJOS...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de DIRECCIÓN, ACADÉMICO seguimiento y evaluación del PEL, proyectos operativos, proceso de toma de decisiones en el ámbito operativo, curricular, inclusión, metodológico, académico y de convivencia y bienestar de la comunidad educativa.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3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COMISIONES, DEPARTAMENTOS Y ÁREAS OPERATIVAS: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desarrollo, seguimiento y evaluación de iniciativas. Dinámica, nuevas metodologías, interdisciplinariedad.  Experiencia en la gestión coherente del desarrollo progresivo de los aprendizajes.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9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PADRES DE FAMILIA: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situación e incidencia dentro de la estructura de la obra, formación lasallista para padres, nivel de compromiso y participación con la obra.  Acciones que desarrollan.  Aciertos y puntos de mejora. 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EXALUMNOS: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situación actual de participación.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EQUIPO ADMINISTRATIVO 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Dinámica de trabajo.  Estrategia de vínculo con la planificación académica y pedagógica.  Preparación del presupuesto.  Experiencia en el planteamiento estratégico.  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7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Arial" w:cs="Arial" w:eastAsia="Arial" w:hAnsi="Arial"/>
                <w:color w:val="00206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36"/>
                <w:szCs w:val="36"/>
                <w:rtl w:val="0"/>
              </w:rPr>
              <w:t xml:space="preserve">PARTE IV. Vida de Fe de la Comunidad e Identidad lasallista</w:t>
            </w:r>
          </w:p>
        </w:tc>
      </w:tr>
      <w:tr>
        <w:trPr>
          <w:cantSplit w:val="0"/>
          <w:trHeight w:val="3180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206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FORMACIÓN EN CLAVE DE FE:</w:t>
            </w:r>
            <w:r w:rsidDel="00000000" w:rsidR="00000000" w:rsidRPr="00000000">
              <w:rPr>
                <w:rFonts w:ascii="Arial" w:cs="Arial" w:eastAsia="Arial" w:hAnsi="Arial"/>
                <w:color w:val="ff990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Procesos de formación a nivel local y distrital (Escuelas de Pastoral, Escuela de Liderazgo de Pastoral Lasallista -ELIPAL-, Talleres Psicoespirituales, MOOC-RELAL).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DIMENSIÓN EVANGELIZADORA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Cultura institucional en cuanto a la participación de la comunidad educativa (docentes, administrativos, alumnos, padres de familia, exalumnos) en los procesos pastorales y proyectos específicos de pastoral (Movimiento Misionero, Jóvenes Lasalianos, Pastoral Vocacional, entre otros), evidencias del compromiso cristiano de la obra y su proyección social.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HORIZONTE EVANGELIZADOR: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promoción de la cultura vocacional y otros proyectos de innovación según las necesidades locales y en respuesta al acompañamiento virtual.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7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Arial" w:cs="Arial" w:eastAsia="Arial" w:hAnsi="Arial"/>
                <w:color w:val="00206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36"/>
                <w:szCs w:val="36"/>
                <w:rtl w:val="0"/>
              </w:rPr>
              <w:t xml:space="preserve">PARTE V. ADMINISTRACIÓN DE LA OBRA </w:t>
            </w:r>
          </w:p>
        </w:tc>
      </w:tr>
      <w:tr>
        <w:trPr>
          <w:cantSplit w:val="0"/>
          <w:trHeight w:val="249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FAMILIA Y ASPECTOS FINANCIEROS: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situación      financiera de las familias, criterios para otorgamiento de becas.  Situación de las colegiaturas y estrategias de cobro.  Otras estrategias de ingreso económico.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INFORME ECONÓMICO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Periodicidad de análisis.  Experiencia de análisis.  Decisiones relevantes. Admisiones de estudiantes, situaciones y proyecciones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SITUACIÓN ECONÓMICO-LABORAL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. 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Situación de la planilla de la obra y prácticas en la gestión del personal: Escalafón salarial.  Medidas de contingencia.  Contratos, incentivos,  jubilaciones.  Resultados. Previsiones de futuro.  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INFRAESTRUCTURA, MOBILIARIO Y EQUIPO: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Situaciones de los espacios educativos.  Adecuación de la infraestructura a la inclusión (rampas, señalizaciones, infografías) y nuevas necesidades educativas, capacidad de respuesta a los requerimientos de bioseguridad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INFRAESTRUCTURA TECNOLÓGICA.  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Proceso de integración de la tecnología en el aula y en la gestión pedagógica-didáctica.  Registro de necesidades de equipo y diseño.  Análisis de respuesta a la exclusión tecnológica.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i w:val="0"/>
                <w:smallCaps w:val="0"/>
                <w:strike w:val="0"/>
                <w:color w:val="002060"/>
                <w:sz w:val="22"/>
                <w:szCs w:val="22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ASPECTOS LEGALES 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Experiencia en la aplicación y seguimiento de situaciones legales, laborales, sanitarias y educativas. Situaciones legales por atender en la obra educativa.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spacing w:after="0" w:line="240" w:lineRule="auto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EVALUACIÓN DEL PERSONAL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.  Experiencia de evaluación en puestos de dirección y coordinación de seglares.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20" w:firstLine="0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Arial" w:cs="Arial" w:eastAsia="Arial" w:hAnsi="Arial"/>
                <w:i w:val="0"/>
                <w:smallCaps w:val="0"/>
                <w:strike w:val="0"/>
                <w:color w:val="00206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POLÍTICAS DISTRITALES.   Política de prevención de  Hostigamiento y acoso sexual e Inducción: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Conocimiento, sensibilización  divulgación y aplicación, buenas prácticas.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4"/>
            <w:shd w:fill="f2f2f2" w:val="clear"/>
            <w:vAlign w:val="center"/>
          </w:tcPr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Arial" w:cs="Arial" w:eastAsia="Arial" w:hAnsi="Arial"/>
                <w:color w:val="002060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36"/>
                <w:szCs w:val="36"/>
                <w:rtl w:val="0"/>
              </w:rPr>
              <w:t xml:space="preserve">PARTE VI. OTROS ASPECTOS A TOMAR EN CUENTA</w:t>
            </w:r>
          </w:p>
        </w:tc>
      </w:tr>
      <w:tr>
        <w:trPr>
          <w:cantSplit w:val="0"/>
          <w:trHeight w:val="1151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color w:val="00206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rtl w:val="0"/>
              </w:rPr>
              <w:t xml:space="preserve">RESPUESTA A NECESIDADES CONTEXTUALES: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 niveles de  incidencia,  de impacto, transformación social, entre otros.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9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spacing w:line="240" w:lineRule="auto"/>
        <w:rPr>
          <w:rFonts w:ascii="Arial" w:cs="Arial" w:eastAsia="Arial" w:hAnsi="Arial"/>
          <w:color w:val="0020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spacing w:line="240" w:lineRule="auto"/>
        <w:rPr>
          <w:rFonts w:ascii="Arial" w:cs="Arial" w:eastAsia="Arial" w:hAnsi="Arial"/>
          <w:b w:val="1"/>
          <w:color w:val="073763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36"/>
          <w:szCs w:val="36"/>
          <w:rtl w:val="0"/>
        </w:rPr>
        <w:t xml:space="preserve">LECCIONES APRENDIDAS</w:t>
      </w:r>
    </w:p>
    <w:p w:rsidR="00000000" w:rsidDel="00000000" w:rsidP="00000000" w:rsidRDefault="00000000" w:rsidRPr="00000000" w14:paraId="0000010D">
      <w:pPr>
        <w:spacing w:line="240" w:lineRule="auto"/>
        <w:rPr>
          <w:rFonts w:ascii="Arial" w:cs="Arial" w:eastAsia="Arial" w:hAnsi="Arial"/>
          <w:color w:val="00206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73763"/>
          <w:sz w:val="36"/>
          <w:szCs w:val="36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line="240" w:lineRule="auto"/>
        <w:rPr>
          <w:rFonts w:ascii="Arial" w:cs="Arial" w:eastAsia="Arial" w:hAnsi="Arial"/>
          <w:color w:val="00206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2060"/>
          <w:sz w:val="28"/>
          <w:szCs w:val="28"/>
          <w:rtl w:val="0"/>
        </w:rPr>
        <w:t xml:space="preserve">“La educación no debe ser entendida como sinónimo de escuela. Nuestra misión ha encontrado otros cauces en la educación no formal, la acción pastoral, la evangelización en otros areópagos y la presencia en medios virtuales y desescolarizados.”</w:t>
      </w:r>
    </w:p>
    <w:p w:rsidR="00000000" w:rsidDel="00000000" w:rsidP="00000000" w:rsidRDefault="00000000" w:rsidRPr="00000000" w14:paraId="0000010F">
      <w:pPr>
        <w:spacing w:line="240" w:lineRule="auto"/>
        <w:jc w:val="right"/>
        <w:rPr>
          <w:rFonts w:ascii="Arial" w:cs="Arial" w:eastAsia="Arial" w:hAnsi="Arial"/>
          <w:b w:val="1"/>
          <w:i w:val="1"/>
          <w:color w:val="00206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2060"/>
          <w:sz w:val="28"/>
          <w:szCs w:val="28"/>
          <w:rtl w:val="0"/>
        </w:rPr>
        <w:t xml:space="preserve">Declaración sobre la misión educativa lasallista (4.7)</w:t>
      </w:r>
    </w:p>
    <w:p w:rsidR="00000000" w:rsidDel="00000000" w:rsidP="00000000" w:rsidRDefault="00000000" w:rsidRPr="00000000" w14:paraId="00000110">
      <w:pPr>
        <w:spacing w:line="240" w:lineRule="auto"/>
        <w:jc w:val="right"/>
        <w:rPr>
          <w:rFonts w:ascii="Arial" w:cs="Arial" w:eastAsia="Arial" w:hAnsi="Arial"/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even"/>
      <w:pgSz w:h="12240" w:w="15840" w:orient="landscape"/>
      <w:pgMar w:bottom="1418" w:top="1418" w:left="1134" w:right="1134" w:header="709" w:footer="113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jc w:val="center"/>
      <w:rPr>
        <w:b w:val="1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b w:val="1"/>
        <w:color w:val="7f7f7f"/>
        <w:sz w:val="28"/>
        <w:szCs w:val="28"/>
        <w:rtl w:val="0"/>
      </w:rPr>
      <w:t xml:space="preserve">7 oct 2021</w:t>
    </w:r>
    <w:r w:rsidDel="00000000" w:rsidR="00000000" w:rsidRPr="00000000">
      <w:rPr>
        <w:rFonts w:ascii="Arial" w:cs="Arial" w:eastAsia="Arial" w:hAnsi="Arial"/>
        <w:b w:val="1"/>
        <w:color w:val="7f7f7f"/>
        <w:sz w:val="28"/>
        <w:szCs w:val="28"/>
        <w:rtl w:val="0"/>
      </w:rPr>
      <w:t xml:space="preserve">(pág </w:t>
    </w:r>
    <w:r w:rsidDel="00000000" w:rsidR="00000000" w:rsidRPr="00000000">
      <w:rPr>
        <w:b w:val="1"/>
        <w:color w:val="000000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b w:val="1"/>
        <w:color w:val="000000"/>
        <w:sz w:val="28"/>
        <w:szCs w:val="28"/>
        <w:rtl w:val="0"/>
      </w:rPr>
      <w:t xml:space="preserve">)</w:t>
    </w:r>
  </w:p>
  <w:p w:rsidR="00000000" w:rsidDel="00000000" w:rsidP="00000000" w:rsidRDefault="00000000" w:rsidRPr="00000000" w14:paraId="000001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6">
    <w:pPr>
      <w:spacing w:after="0" w:line="240" w:lineRule="auto"/>
      <w:jc w:val="center"/>
      <w:rPr>
        <w:rFonts w:ascii="Arial" w:cs="Arial" w:eastAsia="Arial" w:hAnsi="Arial"/>
        <w:b w:val="1"/>
        <w:color w:val="002060"/>
      </w:rPr>
    </w:pPr>
    <w:r w:rsidDel="00000000" w:rsidR="00000000" w:rsidRPr="00000000">
      <w:rPr>
        <w:rFonts w:ascii="Arial" w:cs="Arial" w:eastAsia="Arial" w:hAnsi="Arial"/>
        <w:b w:val="1"/>
        <w:color w:val="7f7f7f"/>
        <w:rtl w:val="0"/>
      </w:rPr>
      <w:t xml:space="preserve">CIERRE DEL PERÍODO DE ANIMACIÓN DISTRITAL 2019 - 2021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jc w:val="right"/>
      <w:rPr>
        <w:b w:val="1"/>
        <w:color w:val="000000"/>
        <w:sz w:val="28"/>
        <w:szCs w:val="28"/>
      </w:rPr>
    </w:pPr>
    <w:r w:rsidDel="00000000" w:rsidR="00000000" w:rsidRPr="00000000">
      <w:rPr>
        <w:b w:val="1"/>
        <w:color w:val="000000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8">
    <w:pPr>
      <w:tabs>
        <w:tab w:val="center" w:pos="4419"/>
        <w:tab w:val="right" w:pos="8838"/>
      </w:tabs>
      <w:spacing w:line="240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5"/>
      <w:tblW w:w="13710.0" w:type="dxa"/>
      <w:jc w:val="left"/>
      <w:tblInd w:w="0.0" w:type="dxa"/>
      <w:tblBorders>
        <w:top w:color="ffc000" w:space="0" w:sz="4" w:val="single"/>
        <w:left w:color="ffc000" w:space="0" w:sz="4" w:val="single"/>
        <w:bottom w:color="ffc000" w:space="0" w:sz="4" w:val="single"/>
        <w:right w:color="ffc000" w:space="0" w:sz="4" w:val="single"/>
        <w:insideH w:color="ffc000" w:space="0" w:sz="4" w:val="single"/>
        <w:insideV w:color="ffc000" w:space="0" w:sz="4" w:val="single"/>
      </w:tblBorders>
      <w:tblLayout w:type="fixed"/>
      <w:tblLook w:val="04A0"/>
    </w:tblPr>
    <w:tblGrid>
      <w:gridCol w:w="3510"/>
      <w:gridCol w:w="4080"/>
      <w:gridCol w:w="2835"/>
      <w:gridCol w:w="3285"/>
      <w:tblGridChange w:id="0">
        <w:tblGrid>
          <w:gridCol w:w="3510"/>
          <w:gridCol w:w="4080"/>
          <w:gridCol w:w="2835"/>
          <w:gridCol w:w="3285"/>
        </w:tblGrid>
      </w:tblGridChange>
    </w:tblGrid>
    <w:tr>
      <w:trPr>
        <w:cantSplit w:val="0"/>
        <w:tblHeader w:val="0"/>
      </w:trPr>
      <w:tc>
        <w:tcPr>
          <w:tcBorders>
            <w:top w:color="ffc000" w:space="0" w:sz="4" w:val="single"/>
            <w:left w:color="ffc000" w:space="0" w:sz="4" w:val="single"/>
            <w:bottom w:color="ffc000" w:space="0" w:sz="4" w:val="single"/>
            <w:right w:color="ffc000" w:space="0" w:sz="4" w:val="single"/>
          </w:tcBorders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119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" w:cs="Arial" w:eastAsia="Arial" w:hAnsi="Arial"/>
              <w:b w:val="0"/>
              <w:color w:val="00206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1A">
    <w:pPr>
      <w:tabs>
        <w:tab w:val="center" w:pos="4419"/>
        <w:tab w:val="right" w:pos="8838"/>
      </w:tabs>
      <w:spacing w:line="240" w:lineRule="auto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-872142</wp:posOffset>
          </wp:positionH>
          <wp:positionV relativeFrom="paragraph">
            <wp:posOffset>-470534</wp:posOffset>
          </wp:positionV>
          <wp:extent cx="10071796" cy="778303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71796" cy="778303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-703233</wp:posOffset>
          </wp:positionH>
          <wp:positionV relativeFrom="paragraph">
            <wp:posOffset>-447039</wp:posOffset>
          </wp:positionV>
          <wp:extent cx="10030518" cy="7751134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30518" cy="7751134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-720089</wp:posOffset>
          </wp:positionH>
          <wp:positionV relativeFrom="paragraph">
            <wp:posOffset>-434230</wp:posOffset>
          </wp:positionV>
          <wp:extent cx="10058400" cy="7772325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8400" cy="77723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G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9bbb59" w:val="clear"/>
    </w:tcPr>
    <w:tblStylePr w:type="band1Horz">
      <w:tcPr>
        <w:shd w:fill="dbe5f1" w:val="clear"/>
      </w:tcPr>
    </w:tblStylePr>
    <w:tblStylePr w:type="band1Vert">
      <w:tcPr>
        <w:shd w:fill="dbe5f1" w:val="clear"/>
      </w:tcPr>
    </w:tblStylePr>
    <w:tblStylePr w:type="band2Horz">
      <w:tcPr/>
    </w:tblStylePr>
    <w:tblStylePr w:type="band2Vert">
      <w:tcPr/>
    </w:tblStylePr>
    <w:tblStylePr w:type="firstCol">
      <w:rPr>
        <w:b w:val="1"/>
      </w:rPr>
      <w:tcPr/>
    </w:tblStylePr>
    <w:tblStylePr w:type="firstRow">
      <w:rPr>
        <w:b w:val="1"/>
      </w:rPr>
      <w:tcPr>
        <w:shd w:fill="ffffff" w:val="clear"/>
      </w:tcPr>
    </w:tblStylePr>
    <w:tblStylePr w:type="lastCol">
      <w:rPr>
        <w:b w:val="1"/>
      </w:rPr>
      <w:tcPr/>
    </w:tblStylePr>
    <w:tblStylePr w:type="lastRow">
      <w:rPr>
        <w:b w:val="1"/>
      </w:rPr>
      <w:tcPr>
        <w:shd w:fill="ffffff" w:val="clear"/>
      </w:tcPr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9bbb59" w:val="clear"/>
    </w:tcPr>
    <w:tblStylePr w:type="band1Horz">
      <w:tcPr>
        <w:shd w:fill="dbe5f1" w:val="clear"/>
      </w:tcPr>
    </w:tblStylePr>
    <w:tblStylePr w:type="band1Vert">
      <w:tcPr>
        <w:shd w:fill="dbe5f1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color="000000" w:space="0" w:sz="0" w:val="nil"/>
          <w:insideV w:color="000000" w:space="0" w:sz="0" w:val="nil"/>
        </w:tcBorders>
        <w:shd w:fill="4f81bd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f81bd" w:space="0" w:sz="4" w:val="single"/>
        </w:tcBorders>
      </w:tcPr>
    </w:tblStylePr>
  </w:style>
  <w:style w:type="table" w:styleId="Table5">
    <w:basedOn w:val="TableNormal"/>
    <w:rPr>
      <w:color w:val="76923c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9bbb59" w:val="clear"/>
    </w:tcPr>
    <w:tblStylePr w:type="band1Horz">
      <w:tcPr>
        <w:shd w:fill="dbe5f1" w:val="clear"/>
      </w:tcPr>
    </w:tblStylePr>
    <w:tblStylePr w:type="band1Vert">
      <w:tcPr>
        <w:shd w:fill="dbe5f1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4f81bd" w:space="0" w:sz="4" w:val="single"/>
          <w:left w:color="4f81bd" w:space="0" w:sz="4" w:val="single"/>
          <w:bottom w:color="4f81bd" w:space="0" w:sz="4" w:val="single"/>
          <w:right w:color="4f81bd" w:space="0" w:sz="4" w:val="single"/>
          <w:insideH w:color="000000" w:space="0" w:sz="0" w:val="nil"/>
          <w:insideV w:color="000000" w:space="0" w:sz="0" w:val="nil"/>
        </w:tcBorders>
        <w:shd w:fill="4f81bd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4f81bd" w:space="0" w:sz="4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mailto:mcifuentes@lasalleca.net" TargetMode="Externa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